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C3E" w14:textId="77777777" w:rsidR="00D91232" w:rsidRPr="0040308E" w:rsidRDefault="00D91232" w:rsidP="00D91232">
      <w:pPr>
        <w:jc w:val="center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T.C.</w:t>
      </w:r>
    </w:p>
    <w:p w14:paraId="7F107EAE" w14:textId="77777777" w:rsidR="00D91232" w:rsidRPr="0040308E" w:rsidRDefault="00D91232" w:rsidP="00D91232">
      <w:pPr>
        <w:jc w:val="center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TİCARET BAKANLIĞI</w:t>
      </w:r>
    </w:p>
    <w:p w14:paraId="1A1B2381" w14:textId="36D8E733" w:rsidR="00C252C2" w:rsidRPr="0040308E" w:rsidRDefault="00D91232" w:rsidP="00D91232">
      <w:pPr>
        <w:jc w:val="center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Gümrükler Genel Müdürlüğü</w:t>
      </w:r>
    </w:p>
    <w:p w14:paraId="449AB139" w14:textId="3F0F42F9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Sayı :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E-20117910-180.05-00117610397</w:t>
      </w:r>
    </w:p>
    <w:p w14:paraId="1D8BC7D0" w14:textId="7D8DAC13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Konu : Form A-Japonya</w:t>
      </w:r>
    </w:p>
    <w:p w14:paraId="689ECCDE" w14:textId="77777777" w:rsidR="00D91232" w:rsidRPr="0040308E" w:rsidRDefault="00D91232" w:rsidP="00D91232">
      <w:pPr>
        <w:jc w:val="center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07.01.2026 / 117610397</w:t>
      </w:r>
    </w:p>
    <w:p w14:paraId="724B1467" w14:textId="2F263E29" w:rsidR="00D91232" w:rsidRPr="0040308E" w:rsidRDefault="00D91232" w:rsidP="00D91232">
      <w:pPr>
        <w:jc w:val="center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DAĞITIM YERLERİNE</w:t>
      </w:r>
    </w:p>
    <w:p w14:paraId="7F008793" w14:textId="77777777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Uluslararası Anlaşmalar ve Avrupa Birliği Genel Müdürlüğü'nden alınan 06.01.2025 tarihli ve 117493015 sayılı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yazıda Japonya Hükümeti tarafından Türkiye'nin 1 Nisan 2026 tarihi itibarıyla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Genelleştirilmiş Tercihler Sistemi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kapsamından mezun edileceğinin bildirildiği ve söz konusu kararın Japonya Ekonomi, Ticaret ve Sanayi Bakanlığı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internet sayfası aracılığıyla kamuoyuna duyurulduğu ifade edilmiştir.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Bu itibarla, Türkiye'nin Japonya GTS sisteminden 1 Nisan 2026 tarihi itibarıyla mezun edilecek olması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40308E">
        <w:rPr>
          <w:rFonts w:ascii="Calibri" w:hAnsi="Calibri" w:cs="Calibri"/>
          <w:sz w:val="20"/>
          <w:szCs w:val="20"/>
          <w:lang w:val="tr-TR"/>
        </w:rPr>
        <w:t>nedeniyle, anılan tarihten sonra Japonya'ya yapılacak ihracatta Form A belgesi kullanılamayacaktır.</w:t>
      </w:r>
      <w:r w:rsidRPr="0040308E">
        <w:rPr>
          <w:rFonts w:ascii="Calibri" w:hAnsi="Calibri" w:cs="Calibri"/>
          <w:sz w:val="20"/>
          <w:szCs w:val="20"/>
          <w:lang w:val="tr-TR"/>
        </w:rPr>
        <w:t xml:space="preserve"> </w:t>
      </w:r>
    </w:p>
    <w:p w14:paraId="348D67D8" w14:textId="2FD592D3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Bilgi ve gereğini rica ederim.</w:t>
      </w:r>
      <w:r w:rsidRPr="0040308E">
        <w:rPr>
          <w:rFonts w:ascii="Calibri" w:hAnsi="Calibri" w:cs="Calibri"/>
          <w:sz w:val="20"/>
          <w:szCs w:val="20"/>
          <w:lang w:val="tr-TR"/>
        </w:rPr>
        <w:tab/>
      </w:r>
    </w:p>
    <w:p w14:paraId="50A5D3F3" w14:textId="6C467BEF" w:rsidR="00D91232" w:rsidRPr="0040308E" w:rsidRDefault="00D91232" w:rsidP="00D91232">
      <w:pPr>
        <w:jc w:val="right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Cenk Burak ALTAY</w:t>
      </w:r>
    </w:p>
    <w:p w14:paraId="04C0F71C" w14:textId="77777777" w:rsidR="00D91232" w:rsidRPr="0040308E" w:rsidRDefault="00D91232" w:rsidP="00D91232">
      <w:pPr>
        <w:jc w:val="right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Bakan a.</w:t>
      </w:r>
    </w:p>
    <w:p w14:paraId="07B6CF2E" w14:textId="170AF423" w:rsidR="00D91232" w:rsidRPr="0040308E" w:rsidRDefault="00D91232" w:rsidP="00D91232">
      <w:pPr>
        <w:jc w:val="right"/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Daire Başkanı</w:t>
      </w:r>
    </w:p>
    <w:p w14:paraId="1A44AC39" w14:textId="77777777" w:rsidR="00D91232" w:rsidRPr="0040308E" w:rsidRDefault="00D91232" w:rsidP="00D91232">
      <w:pPr>
        <w:jc w:val="right"/>
        <w:rPr>
          <w:rFonts w:ascii="Calibri" w:hAnsi="Calibri" w:cs="Calibri"/>
          <w:sz w:val="20"/>
          <w:szCs w:val="20"/>
          <w:lang w:val="tr-TR"/>
        </w:rPr>
      </w:pPr>
    </w:p>
    <w:p w14:paraId="1EAF941E" w14:textId="77777777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Dağıtım:</w:t>
      </w:r>
    </w:p>
    <w:p w14:paraId="2D164F70" w14:textId="77777777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Gereği: Bilgi:</w:t>
      </w:r>
    </w:p>
    <w:p w14:paraId="214D3967" w14:textId="38BFB1D7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Türkiye İhracatçılar Meclisine Tüm Gümrük ve Dış Ticaret Bölge Müdürlüklerine</w:t>
      </w:r>
    </w:p>
    <w:p w14:paraId="2A9FF20C" w14:textId="77777777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Türkiye Esnaf ve Sanatkârlar Konfederasyonuna</w:t>
      </w:r>
    </w:p>
    <w:p w14:paraId="43C406A9" w14:textId="2C7FDA8C" w:rsidR="00D91232" w:rsidRPr="0040308E" w:rsidRDefault="00D91232" w:rsidP="00D91232">
      <w:pPr>
        <w:rPr>
          <w:rFonts w:ascii="Calibri" w:hAnsi="Calibri" w:cs="Calibri"/>
          <w:sz w:val="20"/>
          <w:szCs w:val="20"/>
          <w:lang w:val="tr-TR"/>
        </w:rPr>
      </w:pPr>
      <w:r w:rsidRPr="0040308E">
        <w:rPr>
          <w:rFonts w:ascii="Calibri" w:hAnsi="Calibri" w:cs="Calibri"/>
          <w:sz w:val="20"/>
          <w:szCs w:val="20"/>
          <w:lang w:val="tr-TR"/>
        </w:rPr>
        <w:t>Türkiye Odalar ve Borsalar Birliğine</w:t>
      </w:r>
    </w:p>
    <w:p w14:paraId="02F326D7" w14:textId="0AC53A46" w:rsidR="0040308E" w:rsidRPr="0040308E" w:rsidRDefault="0040308E" w:rsidP="00D91232">
      <w:pPr>
        <w:rPr>
          <w:rFonts w:ascii="Arial" w:hAnsi="Arial" w:cs="Arial"/>
          <w:color w:val="EE0000"/>
          <w:sz w:val="22"/>
          <w:szCs w:val="22"/>
          <w:lang w:val="tr-TR"/>
        </w:rPr>
      </w:pPr>
      <w:r w:rsidRPr="0040308E">
        <w:rPr>
          <w:rFonts w:ascii="Arial" w:hAnsi="Arial" w:cs="Arial"/>
          <w:color w:val="EE0000"/>
          <w:sz w:val="22"/>
          <w:szCs w:val="22"/>
          <w:lang w:val="tr-TR"/>
        </w:rPr>
        <w:t xml:space="preserve">Kaynak: </w:t>
      </w:r>
      <w:r w:rsidRPr="0040308E">
        <w:rPr>
          <w:rFonts w:ascii="Arial" w:eastAsia="Aptos" w:hAnsi="Arial" w:cs="Arial"/>
          <w:color w:val="EE0000"/>
          <w:sz w:val="20"/>
          <w:szCs w:val="20"/>
          <w:lang w:val="tr-TR"/>
        </w:rPr>
        <w:t>TCS Global Gümrük Müşavirliği ve Lojistik Hizmetleri Ltd Şti</w:t>
      </w:r>
      <w:r w:rsidRPr="0040308E">
        <w:rPr>
          <w:rFonts w:ascii="Arial" w:eastAsia="Aptos" w:hAnsi="Arial" w:cs="Arial"/>
          <w:color w:val="EE0000"/>
          <w:sz w:val="20"/>
          <w:szCs w:val="20"/>
          <w:lang w:val="tr-TR"/>
        </w:rPr>
        <w:t>.</w:t>
      </w:r>
      <w:r w:rsidRPr="0040308E">
        <w:rPr>
          <w:rFonts w:ascii="Arial" w:hAnsi="Arial" w:cs="Arial"/>
          <w:color w:val="EE0000"/>
          <w:sz w:val="22"/>
          <w:szCs w:val="22"/>
          <w:lang w:val="tr-TR"/>
        </w:rPr>
        <w:t xml:space="preserve"> Bu bilgi yazılı veya elektronik ortamda kaynak göstermeden yayınlanamaz. Kaynak göstermeden yayınlayanlar hakkında yasal işlem yapılacaktır</w:t>
      </w:r>
      <w:r>
        <w:rPr>
          <w:rFonts w:ascii="Arial" w:hAnsi="Arial" w:cs="Arial"/>
          <w:color w:val="EE0000"/>
          <w:sz w:val="22"/>
          <w:szCs w:val="22"/>
          <w:lang w:val="tr-TR"/>
        </w:rPr>
        <w:t>.</w:t>
      </w:r>
    </w:p>
    <w:sectPr w:rsidR="0040308E" w:rsidRPr="0040308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C8C5" w14:textId="77777777" w:rsidR="00070611" w:rsidRDefault="00070611" w:rsidP="00D91232">
      <w:pPr>
        <w:spacing w:after="0" w:line="240" w:lineRule="auto"/>
      </w:pPr>
      <w:r>
        <w:separator/>
      </w:r>
    </w:p>
  </w:endnote>
  <w:endnote w:type="continuationSeparator" w:id="0">
    <w:p w14:paraId="6BC5ADFF" w14:textId="77777777" w:rsidR="00070611" w:rsidRDefault="00070611" w:rsidP="00D9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551" w14:textId="63501124" w:rsidR="0040308E" w:rsidRPr="0040308E" w:rsidRDefault="0040308E" w:rsidP="0040308E">
    <w:pPr>
      <w:spacing w:before="100" w:beforeAutospacing="1" w:after="100" w:afterAutospacing="1" w:line="240" w:lineRule="auto"/>
      <w:jc w:val="center"/>
      <w:rPr>
        <w:rFonts w:ascii="Arial" w:eastAsia="Aptos" w:hAnsi="Arial" w:cs="Arial"/>
        <w:kern w:val="0"/>
        <w:sz w:val="20"/>
        <w:szCs w:val="20"/>
        <w:lang w:val="tr-TR"/>
        <w14:ligatures w14:val="none"/>
      </w:rPr>
    </w:pPr>
    <w:r w:rsidRPr="0040308E">
      <w:rPr>
        <w:rFonts w:ascii="Arial" w:eastAsia="Aptos" w:hAnsi="Arial" w:cs="Arial"/>
        <w:color w:val="002060"/>
        <w:kern w:val="0"/>
        <w:sz w:val="20"/>
        <w:szCs w:val="20"/>
        <w:lang w:val="tr-TR"/>
      </w:rPr>
      <w:t xml:space="preserve">Sultan Selim Mah. </w:t>
    </w:r>
    <w:r w:rsidRPr="0040308E">
      <w:rPr>
        <w:rFonts w:ascii="Arial" w:eastAsia="Aptos" w:hAnsi="Arial" w:cs="Arial"/>
        <w:color w:val="002060"/>
        <w:kern w:val="0"/>
        <w:sz w:val="20"/>
        <w:szCs w:val="20"/>
        <w:lang w:val="tr-TR"/>
      </w:rPr>
      <w:t>Hümeyra</w:t>
    </w:r>
    <w:r w:rsidRPr="0040308E">
      <w:rPr>
        <w:rFonts w:ascii="Arial" w:eastAsia="Aptos" w:hAnsi="Arial" w:cs="Arial"/>
        <w:color w:val="002060"/>
        <w:kern w:val="0"/>
        <w:sz w:val="20"/>
        <w:szCs w:val="20"/>
        <w:lang w:val="tr-TR"/>
      </w:rPr>
      <w:t xml:space="preserve"> SK. Nef 09 B Blok no: 7</w:t>
    </w:r>
  </w:p>
  <w:p w14:paraId="00BA4DA4" w14:textId="77777777" w:rsidR="0040308E" w:rsidRPr="0040308E" w:rsidRDefault="0040308E" w:rsidP="0040308E">
    <w:pPr>
      <w:spacing w:before="100" w:beforeAutospacing="1" w:after="100" w:afterAutospacing="1" w:line="240" w:lineRule="auto"/>
      <w:jc w:val="center"/>
      <w:rPr>
        <w:rFonts w:ascii="Arial" w:eastAsia="Aptos" w:hAnsi="Arial" w:cs="Arial"/>
        <w:kern w:val="0"/>
        <w:sz w:val="20"/>
        <w:szCs w:val="20"/>
        <w:lang w:val="tr-TR"/>
        <w14:ligatures w14:val="none"/>
      </w:rPr>
    </w:pPr>
    <w:r w:rsidRPr="0040308E">
      <w:rPr>
        <w:rFonts w:ascii="Arial" w:eastAsia="Aptos" w:hAnsi="Arial" w:cs="Arial"/>
        <w:color w:val="002060"/>
        <w:kern w:val="0"/>
        <w:sz w:val="20"/>
        <w:szCs w:val="20"/>
        <w:lang w:val="tr-TR"/>
      </w:rPr>
      <w:t>İç Kapı No: 166 Kâğıthane/ Istanbul</w:t>
    </w:r>
  </w:p>
  <w:p w14:paraId="06413C50" w14:textId="77777777" w:rsidR="0040308E" w:rsidRPr="0040308E" w:rsidRDefault="0040308E" w:rsidP="0040308E">
    <w:pPr>
      <w:spacing w:before="100" w:beforeAutospacing="1" w:after="100" w:afterAutospacing="1" w:line="240" w:lineRule="auto"/>
      <w:jc w:val="center"/>
      <w:rPr>
        <w:rFonts w:ascii="Arial" w:eastAsia="Aptos" w:hAnsi="Arial" w:cs="Arial"/>
        <w:kern w:val="0"/>
        <w:sz w:val="20"/>
        <w:szCs w:val="20"/>
        <w:lang w:val="tr-TR"/>
        <w14:ligatures w14:val="none"/>
      </w:rPr>
    </w:pPr>
    <w:r w:rsidRPr="0040308E">
      <w:rPr>
        <w:rFonts w:ascii="Arial" w:eastAsia="Aptos" w:hAnsi="Arial" w:cs="Arial"/>
        <w:color w:val="002060"/>
        <w:kern w:val="0"/>
        <w:sz w:val="20"/>
        <w:szCs w:val="20"/>
        <w:lang w:val="tr-TR"/>
      </w:rPr>
      <w:t>T: +90 212 401 13 52</w:t>
    </w:r>
  </w:p>
  <w:p w14:paraId="0FB3713A" w14:textId="47A47564" w:rsidR="0040308E" w:rsidRPr="0040308E" w:rsidRDefault="0040308E" w:rsidP="0040308E">
    <w:pPr>
      <w:spacing w:before="100" w:beforeAutospacing="1" w:after="100" w:afterAutospacing="1" w:line="240" w:lineRule="auto"/>
      <w:jc w:val="center"/>
      <w:rPr>
        <w:rFonts w:ascii="Arial" w:eastAsia="Aptos" w:hAnsi="Arial" w:cs="Arial"/>
        <w:kern w:val="0"/>
        <w:sz w:val="20"/>
        <w:szCs w:val="20"/>
        <w:lang w:val="tr-TR"/>
        <w14:ligatures w14:val="none"/>
      </w:rPr>
    </w:pPr>
    <w:hyperlink r:id="rId1" w:history="1">
      <w:r w:rsidRPr="0040308E">
        <w:rPr>
          <w:rFonts w:ascii="Arial" w:eastAsia="Aptos" w:hAnsi="Arial" w:cs="Arial"/>
          <w:color w:val="002060"/>
          <w:kern w:val="0"/>
          <w:sz w:val="20"/>
          <w:szCs w:val="20"/>
          <w:u w:val="single"/>
          <w:bdr w:val="none" w:sz="0" w:space="0" w:color="auto" w:frame="1"/>
          <w:lang w:val="tr-TR"/>
        </w:rPr>
        <w:t>www.tcsglobal.co</w:t>
      </w:r>
    </w:hyperlink>
  </w:p>
  <w:p w14:paraId="79341DC9" w14:textId="77777777" w:rsidR="00D91232" w:rsidRPr="0040308E" w:rsidRDefault="00D91232" w:rsidP="0040308E">
    <w:pPr>
      <w:pStyle w:val="AltBilgi"/>
      <w:jc w:val="center"/>
      <w:rPr>
        <w:sz w:val="22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AE4D" w14:textId="77777777" w:rsidR="00070611" w:rsidRDefault="00070611" w:rsidP="00D91232">
      <w:pPr>
        <w:spacing w:after="0" w:line="240" w:lineRule="auto"/>
      </w:pPr>
      <w:r>
        <w:separator/>
      </w:r>
    </w:p>
  </w:footnote>
  <w:footnote w:type="continuationSeparator" w:id="0">
    <w:p w14:paraId="77A97C94" w14:textId="77777777" w:rsidR="00070611" w:rsidRDefault="00070611" w:rsidP="00D9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CF92" w14:textId="5E31D620" w:rsidR="00D91232" w:rsidRDefault="00D91232">
    <w:pPr>
      <w:pStyle w:val="stBilgi"/>
    </w:pPr>
    <w:r>
      <w:rPr>
        <w:noProof/>
      </w:rPr>
      <w:pict w14:anchorId="26B739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795pt;height:66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TCS GLOBAL GÜMRÜK MÜŞAVİRLİĞ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BCC8" w14:textId="3842B032" w:rsidR="00D91232" w:rsidRDefault="00D91232">
    <w:pPr>
      <w:pStyle w:val="stBilgi"/>
    </w:pPr>
    <w:r>
      <w:rPr>
        <w:noProof/>
      </w:rPr>
      <w:pict w14:anchorId="25D35A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795pt;height:66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TCS GLOBAL GÜMRÜK MÜŞAVİRLİĞİ"/>
        </v:shape>
      </w:pict>
    </w:r>
    <w:r>
      <w:rPr>
        <w:noProof/>
      </w:rPr>
      <w:drawing>
        <wp:inline distT="0" distB="0" distL="0" distR="0" wp14:anchorId="42E3DB1E" wp14:editId="38705BF1">
          <wp:extent cx="1767840" cy="998220"/>
          <wp:effectExtent l="0" t="0" r="3810" b="0"/>
          <wp:docPr id="1024602741" name="Resim 4" descr="metin, grafik, yazı tipi, grafik tasarım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02741" name="Resim 4" descr="metin, grafik, yazı tipi, grafik tasarım içeren bir resi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8D5EA" w14:textId="77777777" w:rsidR="00D91232" w:rsidRDefault="00D912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C7DF" w14:textId="50C3F759" w:rsidR="00D91232" w:rsidRDefault="00D91232">
    <w:pPr>
      <w:pStyle w:val="stBilgi"/>
    </w:pPr>
    <w:r>
      <w:rPr>
        <w:noProof/>
      </w:rPr>
      <w:pict w14:anchorId="286549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795pt;height:6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54pt" string="TCS GLOBAL GÜMRÜK MÜŞAVİRLİĞ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B"/>
    <w:rsid w:val="00070611"/>
    <w:rsid w:val="002D5D0B"/>
    <w:rsid w:val="003254C7"/>
    <w:rsid w:val="0040308E"/>
    <w:rsid w:val="00A3089C"/>
    <w:rsid w:val="00C252C2"/>
    <w:rsid w:val="00D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AE16"/>
  <w15:chartTrackingRefBased/>
  <w15:docId w15:val="{3717C4A5-D260-45C1-B9DB-4420920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5D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D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D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D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D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D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5D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5D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D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5D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5D0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9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1232"/>
  </w:style>
  <w:style w:type="paragraph" w:styleId="AltBilgi">
    <w:name w:val="footer"/>
    <w:basedOn w:val="Normal"/>
    <w:link w:val="AltBilgiChar"/>
    <w:uiPriority w:val="99"/>
    <w:unhideWhenUsed/>
    <w:rsid w:val="00D9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sglobal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6BD1-B919-4790-A837-962570F2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TOPDEMİR</dc:creator>
  <cp:keywords/>
  <dc:description/>
  <cp:lastModifiedBy>Mert TOPDEMİR</cp:lastModifiedBy>
  <cp:revision>2</cp:revision>
  <dcterms:created xsi:type="dcterms:W3CDTF">2026-01-12T06:27:00Z</dcterms:created>
  <dcterms:modified xsi:type="dcterms:W3CDTF">2026-01-12T06:42:00Z</dcterms:modified>
</cp:coreProperties>
</file>